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ight="-1062"/>
        <w:jc w:val="center"/>
        <w:rPr>
          <w:sz w:val="32"/>
          <w:szCs w:val="32"/>
        </w:rPr>
      </w:pPr>
      <w:r>
        <w:rPr>
          <w:rFonts w:eastAsia="Book Antiqua" w:ascii="Arial" w:hAnsi="Arial"/>
          <w:b/>
          <w:smallCaps/>
          <w:sz w:val="32"/>
          <w:szCs w:val="32"/>
        </w:rPr>
        <w:t>Modelo de Proposta de Preço</w:t>
      </w:r>
    </w:p>
    <w:p>
      <w:pPr>
        <w:pStyle w:val="Normal"/>
        <w:ind w:hanging="0" w:right="-1062"/>
        <w:jc w:val="center"/>
        <w:rPr>
          <w:rFonts w:ascii="Arial" w:hAnsi="Arial" w:eastAsia="Book Antiqua"/>
          <w:b w:val="false"/>
          <w:bCs w:val="false"/>
          <w:sz w:val="20"/>
          <w:szCs w:val="20"/>
        </w:rPr>
      </w:pPr>
      <w:r>
        <w:rPr>
          <w:rFonts w:eastAsia="Book Antiqua" w:ascii="Arial" w:hAnsi="Arial"/>
          <w:b w:val="false"/>
          <w:bCs w:val="false"/>
          <w:sz w:val="20"/>
          <w:szCs w:val="20"/>
        </w:rPr>
        <w:t>(em papel timbrado da empresa)</w:t>
      </w:r>
    </w:p>
    <w:p>
      <w:pPr>
        <w:pStyle w:val="Normal"/>
        <w:ind w:hanging="0" w:right="-1062"/>
        <w:jc w:val="center"/>
        <w:rPr>
          <w:rFonts w:ascii="Arial" w:hAnsi="Arial" w:eastAsia="Book Antiqua"/>
          <w:b w:val="false"/>
          <w:bCs w:val="false"/>
          <w:sz w:val="20"/>
          <w:szCs w:val="20"/>
        </w:rPr>
      </w:pPr>
      <w:r>
        <w:rPr>
          <w:rFonts w:eastAsia="Book Antiqua" w:ascii="Arial" w:hAnsi="Arial"/>
          <w:b w:val="false"/>
          <w:bCs w:val="false"/>
          <w:sz w:val="20"/>
          <w:szCs w:val="20"/>
        </w:rPr>
      </w:r>
    </w:p>
    <w:p>
      <w:pPr>
        <w:pStyle w:val="Normal"/>
        <w:tabs>
          <w:tab w:val="clear" w:pos="708"/>
          <w:tab w:val="left" w:pos="4589" w:leader="none"/>
        </w:tabs>
        <w:ind w:hanging="0" w:right="-1062"/>
        <w:jc w:val="both"/>
        <w:rPr>
          <w:sz w:val="20"/>
          <w:szCs w:val="20"/>
        </w:rPr>
      </w:pPr>
      <w:r>
        <w:rPr>
          <w:rFonts w:eastAsia="Book Antiqua" w:cs="Times New Roman" w:ascii="Arial" w:hAnsi="Arial"/>
          <w:b/>
          <w:color w:val="000000"/>
          <w:sz w:val="20"/>
          <w:szCs w:val="20"/>
          <w:lang w:eastAsia="pt-BR"/>
        </w:rPr>
        <w:t>Ao Fundo Previdenciário do Município de Tambaú - FUPREVIT</w:t>
      </w:r>
      <w:r>
        <w:rPr>
          <w:rFonts w:eastAsia="Book Antiqua" w:ascii="Arial" w:hAnsi="Arial"/>
          <w:b/>
          <w:color w:val="000000"/>
          <w:sz w:val="20"/>
          <w:szCs w:val="20"/>
        </w:rPr>
        <w:t xml:space="preserve"> – SP</w:t>
      </w:r>
    </w:p>
    <w:p>
      <w:pPr>
        <w:pStyle w:val="Normal"/>
        <w:ind w:hanging="0" w:right="-1062"/>
        <w:jc w:val="both"/>
        <w:rPr>
          <w:sz w:val="20"/>
          <w:szCs w:val="20"/>
        </w:rPr>
      </w:pPr>
      <w:r>
        <w:rPr>
          <w:sz w:val="20"/>
          <w:szCs w:val="20"/>
        </w:rPr>
      </w:r>
    </w:p>
    <w:p>
      <w:pPr>
        <w:pStyle w:val="Normal"/>
        <w:ind w:hanging="0" w:right="-1062"/>
        <w:jc w:val="both"/>
        <w:rPr>
          <w:sz w:val="20"/>
          <w:szCs w:val="20"/>
        </w:rPr>
      </w:pPr>
      <w:r>
        <w:rPr>
          <w:rFonts w:eastAsia="Book Antiqua" w:ascii="Arial" w:hAnsi="Arial"/>
          <w:b/>
          <w:color w:val="000000"/>
          <w:sz w:val="20"/>
          <w:szCs w:val="20"/>
        </w:rPr>
        <w:t xml:space="preserve">Ref. </w:t>
      </w:r>
      <w:r>
        <w:rPr>
          <w:rFonts w:eastAsia="Book Antiqua" w:ascii="Arial" w:hAnsi="Arial"/>
          <w:b/>
          <w:color w:val="auto"/>
          <w:sz w:val="20"/>
          <w:szCs w:val="20"/>
        </w:rPr>
        <w:t xml:space="preserve">Proposta de Preço – Dispensa de Licitação </w:t>
      </w:r>
      <w:r>
        <w:rPr>
          <w:rFonts w:eastAsia="Book Antiqua" w:ascii="Arial" w:hAnsi="Arial"/>
          <w:b/>
          <w:color w:val="auto"/>
          <w:sz w:val="20"/>
          <w:szCs w:val="20"/>
        </w:rPr>
        <w:t>nº 03/2025</w:t>
      </w:r>
    </w:p>
    <w:p>
      <w:pPr>
        <w:pStyle w:val="Normal"/>
        <w:ind w:hanging="0" w:right="-1062"/>
        <w:jc w:val="both"/>
        <w:rPr>
          <w:rFonts w:ascii="Arial" w:hAnsi="Arial" w:eastAsia="Book Antiqua"/>
          <w:b/>
          <w:color w:val="FF0000"/>
          <w:sz w:val="20"/>
          <w:szCs w:val="20"/>
        </w:rPr>
      </w:pPr>
      <w:r>
        <w:rPr>
          <w:rFonts w:eastAsia="Book Antiqua" w:ascii="Arial" w:hAnsi="Arial"/>
          <w:b/>
          <w:color w:val="FF0000"/>
          <w:sz w:val="20"/>
          <w:szCs w:val="20"/>
        </w:rPr>
      </w:r>
    </w:p>
    <w:p>
      <w:pPr>
        <w:pStyle w:val="Normal"/>
        <w:ind w:hanging="0" w:right="-1062"/>
        <w:jc w:val="both"/>
        <w:rPr>
          <w:rFonts w:ascii="Arial" w:hAnsi="Arial" w:eastAsia="Book Antiqua"/>
          <w:b/>
          <w:color w:val="FF0000"/>
          <w:sz w:val="20"/>
          <w:szCs w:val="20"/>
        </w:rPr>
      </w:pPr>
      <w:r>
        <w:rPr>
          <w:rFonts w:eastAsia="Book Antiqua" w:ascii="Arial" w:hAnsi="Arial"/>
          <w:b/>
          <w:color w:val="FF0000"/>
          <w:sz w:val="20"/>
          <w:szCs w:val="20"/>
        </w:rPr>
      </w:r>
    </w:p>
    <w:tbl>
      <w:tblPr>
        <w:tblW w:w="9870" w:type="dxa"/>
        <w:jc w:val="left"/>
        <w:tblInd w:w="55" w:type="dxa"/>
        <w:tblLayout w:type="fixed"/>
        <w:tblCellMar>
          <w:top w:w="55" w:type="dxa"/>
          <w:left w:w="55" w:type="dxa"/>
          <w:bottom w:w="55" w:type="dxa"/>
          <w:right w:w="55" w:type="dxa"/>
        </w:tblCellMar>
      </w:tblPr>
      <w:tblGrid>
        <w:gridCol w:w="1682"/>
        <w:gridCol w:w="3180"/>
        <w:gridCol w:w="2338"/>
        <w:gridCol w:w="947"/>
        <w:gridCol w:w="1723"/>
      </w:tblGrid>
      <w:tr>
        <w:trPr>
          <w:trHeight w:val="397" w:hRule="atLeast"/>
        </w:trPr>
        <w:tc>
          <w:tcPr>
            <w:tcW w:w="9870" w:type="dxa"/>
            <w:gridSpan w:val="5"/>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jc w:val="center"/>
              <w:rPr>
                <w:rFonts w:ascii="Arial" w:hAnsi="Arial"/>
                <w:b/>
                <w:bCs/>
                <w:sz w:val="20"/>
                <w:szCs w:val="20"/>
              </w:rPr>
            </w:pPr>
            <w:r>
              <w:rPr>
                <w:rFonts w:ascii="Arial" w:hAnsi="Arial"/>
                <w:b/>
                <w:bCs/>
                <w:sz w:val="20"/>
                <w:szCs w:val="20"/>
              </w:rPr>
              <w:t>DADOS</w:t>
            </w:r>
          </w:p>
        </w:tc>
      </w:tr>
      <w:tr>
        <w:trPr>
          <w:trHeight w:val="397" w:hRule="atLeast"/>
        </w:trPr>
        <w:tc>
          <w:tcPr>
            <w:tcW w:w="1682"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Razão Social:</w:t>
            </w:r>
          </w:p>
        </w:tc>
        <w:tc>
          <w:tcPr>
            <w:tcW w:w="8188" w:type="dxa"/>
            <w:gridSpan w:val="4"/>
            <w:tcBorders>
              <w:left w:val="single" w:sz="4" w:space="0" w:color="000000"/>
              <w:bottom w:val="single" w:sz="4" w:space="0" w:color="000000"/>
              <w:right w:val="single" w:sz="4" w:space="0" w:color="000000"/>
            </w:tcBorders>
            <w:vAlign w:val="center"/>
          </w:tcPr>
          <w:p>
            <w:pPr>
              <w:pStyle w:val="Normal"/>
              <w:widowControl w:val="false"/>
              <w:rPr>
                <w:rFonts w:ascii="Arial" w:hAnsi="Arial"/>
                <w:sz w:val="20"/>
                <w:szCs w:val="20"/>
              </w:rPr>
            </w:pPr>
            <w:r>
              <w:rPr>
                <w:rFonts w:ascii="Arial" w:hAnsi="Arial"/>
                <w:sz w:val="20"/>
                <w:szCs w:val="20"/>
              </w:rPr>
            </w:r>
          </w:p>
        </w:tc>
      </w:tr>
      <w:tr>
        <w:trPr>
          <w:trHeight w:val="397" w:hRule="atLeast"/>
        </w:trPr>
        <w:tc>
          <w:tcPr>
            <w:tcW w:w="1682"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Endereço:</w:t>
            </w:r>
          </w:p>
        </w:tc>
        <w:tc>
          <w:tcPr>
            <w:tcW w:w="6465" w:type="dxa"/>
            <w:gridSpan w:val="3"/>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1723" w:type="dxa"/>
            <w:tcBorders>
              <w:left w:val="single" w:sz="4" w:space="0" w:color="000000"/>
              <w:bottom w:val="single" w:sz="4" w:space="0" w:color="000000"/>
              <w:right w:val="single" w:sz="4" w:space="0" w:color="000000"/>
            </w:tcBorders>
            <w:vAlign w:val="center"/>
          </w:tcPr>
          <w:p>
            <w:pPr>
              <w:pStyle w:val="Contedodatabela"/>
              <w:widowControl w:val="false"/>
              <w:rPr>
                <w:rFonts w:ascii="Arial" w:hAnsi="Arial"/>
                <w:b/>
                <w:bCs/>
                <w:sz w:val="20"/>
                <w:szCs w:val="20"/>
              </w:rPr>
            </w:pPr>
            <w:r>
              <w:rPr>
                <w:rFonts w:ascii="Arial" w:hAnsi="Arial"/>
                <w:b/>
                <w:bCs/>
                <w:sz w:val="20"/>
                <w:szCs w:val="20"/>
              </w:rPr>
              <w:t>nº</w:t>
            </w:r>
          </w:p>
        </w:tc>
      </w:tr>
      <w:tr>
        <w:trPr>
          <w:trHeight w:val="397" w:hRule="atLeast"/>
        </w:trPr>
        <w:tc>
          <w:tcPr>
            <w:tcW w:w="1682"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Cidade:</w:t>
            </w:r>
          </w:p>
        </w:tc>
        <w:tc>
          <w:tcPr>
            <w:tcW w:w="5518" w:type="dxa"/>
            <w:gridSpan w:val="2"/>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2670" w:type="dxa"/>
            <w:gridSpan w:val="2"/>
            <w:tcBorders>
              <w:left w:val="single" w:sz="4" w:space="0" w:color="000000"/>
              <w:bottom w:val="single" w:sz="4" w:space="0" w:color="000000"/>
              <w:right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CEP:</w:t>
            </w:r>
          </w:p>
        </w:tc>
      </w:tr>
      <w:tr>
        <w:trPr>
          <w:trHeight w:val="397" w:hRule="atLeast"/>
        </w:trPr>
        <w:tc>
          <w:tcPr>
            <w:tcW w:w="1682"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CNPJ nº:</w:t>
            </w:r>
          </w:p>
        </w:tc>
        <w:tc>
          <w:tcPr>
            <w:tcW w:w="3180" w:type="dxa"/>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5008" w:type="dxa"/>
            <w:gridSpan w:val="3"/>
            <w:tcBorders>
              <w:left w:val="single" w:sz="4" w:space="0" w:color="000000"/>
              <w:bottom w:val="single" w:sz="4" w:space="0" w:color="000000"/>
              <w:right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Inscrição Estadual nº:</w:t>
            </w:r>
          </w:p>
        </w:tc>
      </w:tr>
      <w:tr>
        <w:trPr>
          <w:trHeight w:val="397" w:hRule="atLeast"/>
        </w:trPr>
        <w:tc>
          <w:tcPr>
            <w:tcW w:w="1682"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Telefone:</w:t>
            </w:r>
          </w:p>
        </w:tc>
        <w:tc>
          <w:tcPr>
            <w:tcW w:w="8188" w:type="dxa"/>
            <w:gridSpan w:val="4"/>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r>
      <w:tr>
        <w:trPr>
          <w:trHeight w:val="397" w:hRule="atLeast"/>
        </w:trPr>
        <w:tc>
          <w:tcPr>
            <w:tcW w:w="1682"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e-mail:</w:t>
            </w:r>
          </w:p>
        </w:tc>
        <w:tc>
          <w:tcPr>
            <w:tcW w:w="8188" w:type="dxa"/>
            <w:gridSpan w:val="4"/>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r>
    </w:tbl>
    <w:p>
      <w:pPr>
        <w:pStyle w:val="Normal"/>
        <w:rPr>
          <w:rFonts w:ascii="Arial" w:hAnsi="Arial"/>
          <w:b/>
          <w:sz w:val="20"/>
          <w:szCs w:val="20"/>
        </w:rPr>
      </w:pPr>
      <w:r>
        <w:rPr>
          <w:rFonts w:ascii="Arial" w:hAnsi="Arial"/>
          <w:b/>
          <w:sz w:val="20"/>
          <w:szCs w:val="20"/>
        </w:rPr>
      </w:r>
    </w:p>
    <w:p>
      <w:pPr>
        <w:pStyle w:val="Normal"/>
        <w:rPr>
          <w:rFonts w:ascii="Arial" w:hAnsi="Arial"/>
          <w:b/>
          <w:sz w:val="20"/>
          <w:szCs w:val="20"/>
        </w:rPr>
      </w:pPr>
      <w:r>
        <w:rPr>
          <w:rFonts w:ascii="Arial" w:hAnsi="Arial"/>
          <w:b/>
          <w:sz w:val="20"/>
          <w:szCs w:val="20"/>
        </w:rPr>
      </w:r>
    </w:p>
    <w:tbl>
      <w:tblPr>
        <w:tblW w:w="9922" w:type="dxa"/>
        <w:jc w:val="left"/>
        <w:tblInd w:w="55" w:type="dxa"/>
        <w:tblLayout w:type="fixed"/>
        <w:tblCellMar>
          <w:top w:w="55" w:type="dxa"/>
          <w:left w:w="55" w:type="dxa"/>
          <w:bottom w:w="55" w:type="dxa"/>
          <w:right w:w="55" w:type="dxa"/>
        </w:tblCellMar>
      </w:tblPr>
      <w:tblGrid>
        <w:gridCol w:w="630"/>
        <w:gridCol w:w="899"/>
        <w:gridCol w:w="691"/>
        <w:gridCol w:w="5610"/>
        <w:gridCol w:w="1020"/>
        <w:gridCol w:w="1071"/>
      </w:tblGrid>
      <w:tr>
        <w:trPr>
          <w:trHeight w:val="397" w:hRule="atLeast"/>
        </w:trPr>
        <w:tc>
          <w:tcPr>
            <w:tcW w:w="630" w:type="dxa"/>
            <w:tcBorders>
              <w:top w:val="single" w:sz="4" w:space="0" w:color="000000"/>
              <w:left w:val="single" w:sz="4" w:space="0" w:color="000000"/>
              <w:bottom w:val="single" w:sz="4" w:space="0" w:color="000000"/>
            </w:tcBorders>
            <w:shd w:fill="939393" w:val="clear"/>
            <w:vAlign w:val="center"/>
          </w:tcPr>
          <w:p>
            <w:pPr>
              <w:pStyle w:val="Contedodatabela"/>
              <w:widowControl w:val="false"/>
              <w:jc w:val="center"/>
              <w:rPr>
                <w:rFonts w:ascii="Arial" w:hAnsi="Arial"/>
                <w:sz w:val="24"/>
                <w:szCs w:val="24"/>
              </w:rPr>
            </w:pPr>
            <w:r>
              <w:rPr>
                <w:rFonts w:ascii="Arial" w:hAnsi="Arial"/>
                <w:b/>
                <w:bCs/>
                <w:sz w:val="24"/>
                <w:szCs w:val="24"/>
              </w:rPr>
              <w:t>Item</w:t>
            </w:r>
          </w:p>
        </w:tc>
        <w:tc>
          <w:tcPr>
            <w:tcW w:w="899" w:type="dxa"/>
            <w:tcBorders>
              <w:top w:val="single" w:sz="4" w:space="0" w:color="000000"/>
              <w:left w:val="single" w:sz="4" w:space="0" w:color="000000"/>
              <w:bottom w:val="single" w:sz="4" w:space="0" w:color="000000"/>
            </w:tcBorders>
            <w:shd w:fill="939393" w:val="clear"/>
            <w:vAlign w:val="center"/>
          </w:tcPr>
          <w:p>
            <w:pPr>
              <w:pStyle w:val="Contedodatabela"/>
              <w:widowControl w:val="false"/>
              <w:jc w:val="center"/>
              <w:rPr>
                <w:rFonts w:ascii="Arial" w:hAnsi="Arial"/>
                <w:sz w:val="24"/>
                <w:szCs w:val="24"/>
              </w:rPr>
            </w:pPr>
            <w:r>
              <w:rPr>
                <w:rFonts w:ascii="Arial" w:hAnsi="Arial"/>
                <w:b/>
                <w:bCs/>
                <w:sz w:val="24"/>
                <w:szCs w:val="24"/>
              </w:rPr>
              <w:t>Quant</w:t>
            </w:r>
          </w:p>
        </w:tc>
        <w:tc>
          <w:tcPr>
            <w:tcW w:w="691" w:type="dxa"/>
            <w:tcBorders>
              <w:top w:val="single" w:sz="4" w:space="0" w:color="000000"/>
              <w:left w:val="single" w:sz="4" w:space="0" w:color="000000"/>
              <w:bottom w:val="single" w:sz="4" w:space="0" w:color="000000"/>
            </w:tcBorders>
            <w:shd w:fill="939393" w:val="clear"/>
            <w:vAlign w:val="center"/>
          </w:tcPr>
          <w:p>
            <w:pPr>
              <w:pStyle w:val="Contedodatabela"/>
              <w:widowControl w:val="false"/>
              <w:jc w:val="center"/>
              <w:rPr>
                <w:rFonts w:ascii="Arial" w:hAnsi="Arial"/>
                <w:sz w:val="24"/>
                <w:szCs w:val="24"/>
              </w:rPr>
            </w:pPr>
            <w:r>
              <w:rPr>
                <w:rFonts w:ascii="Arial" w:hAnsi="Arial"/>
                <w:b/>
                <w:bCs/>
                <w:sz w:val="24"/>
                <w:szCs w:val="24"/>
              </w:rPr>
              <w:t>Unid</w:t>
            </w:r>
          </w:p>
        </w:tc>
        <w:tc>
          <w:tcPr>
            <w:tcW w:w="5610" w:type="dxa"/>
            <w:tcBorders>
              <w:top w:val="single" w:sz="4" w:space="0" w:color="000000"/>
              <w:left w:val="single" w:sz="4" w:space="0" w:color="000000"/>
              <w:bottom w:val="single" w:sz="4" w:space="0" w:color="000000"/>
            </w:tcBorders>
            <w:shd w:fill="939393" w:val="clear"/>
            <w:vAlign w:val="center"/>
          </w:tcPr>
          <w:p>
            <w:pPr>
              <w:pStyle w:val="Contedodatabela"/>
              <w:widowControl w:val="false"/>
              <w:jc w:val="center"/>
              <w:rPr>
                <w:rFonts w:ascii="Arial" w:hAnsi="Arial"/>
                <w:sz w:val="24"/>
                <w:szCs w:val="24"/>
              </w:rPr>
            </w:pPr>
            <w:r>
              <w:rPr>
                <w:rFonts w:ascii="Arial" w:hAnsi="Arial"/>
                <w:b/>
                <w:bCs/>
                <w:sz w:val="24"/>
                <w:szCs w:val="24"/>
              </w:rPr>
              <w:t>Especificação</w:t>
            </w:r>
          </w:p>
        </w:tc>
        <w:tc>
          <w:tcPr>
            <w:tcW w:w="1020" w:type="dxa"/>
            <w:tcBorders>
              <w:top w:val="single" w:sz="4" w:space="0" w:color="000000"/>
              <w:left w:val="single" w:sz="4" w:space="0" w:color="000000"/>
              <w:bottom w:val="single" w:sz="4" w:space="0" w:color="000000"/>
            </w:tcBorders>
            <w:shd w:fill="939393" w:val="clear"/>
            <w:vAlign w:val="center"/>
          </w:tcPr>
          <w:p>
            <w:pPr>
              <w:pStyle w:val="Contedodatabela"/>
              <w:widowControl w:val="false"/>
              <w:spacing w:lineRule="auto" w:line="240"/>
              <w:jc w:val="center"/>
              <w:rPr>
                <w:rFonts w:ascii="Arial" w:hAnsi="Arial"/>
                <w:sz w:val="24"/>
                <w:szCs w:val="24"/>
              </w:rPr>
            </w:pPr>
            <w:r>
              <w:rPr>
                <w:rFonts w:ascii="Arial" w:hAnsi="Arial"/>
                <w:b/>
                <w:bCs/>
                <w:sz w:val="24"/>
                <w:szCs w:val="24"/>
              </w:rPr>
              <w:t>Preço Unit.</w:t>
            </w:r>
          </w:p>
        </w:tc>
        <w:tc>
          <w:tcPr>
            <w:tcW w:w="1071" w:type="dxa"/>
            <w:tcBorders>
              <w:top w:val="single" w:sz="4" w:space="0" w:color="000000"/>
              <w:left w:val="single" w:sz="4" w:space="0" w:color="000000"/>
              <w:bottom w:val="single" w:sz="4" w:space="0" w:color="000000"/>
              <w:right w:val="single" w:sz="4" w:space="0" w:color="000000"/>
            </w:tcBorders>
            <w:shd w:fill="939393" w:val="clear"/>
            <w:vAlign w:val="center"/>
          </w:tcPr>
          <w:p>
            <w:pPr>
              <w:pStyle w:val="Contedodatabela"/>
              <w:widowControl w:val="false"/>
              <w:spacing w:lineRule="auto" w:line="240"/>
              <w:jc w:val="center"/>
              <w:rPr>
                <w:rFonts w:ascii="Arial" w:hAnsi="Arial"/>
                <w:sz w:val="24"/>
                <w:szCs w:val="24"/>
              </w:rPr>
            </w:pPr>
            <w:r>
              <w:rPr>
                <w:rFonts w:ascii="Arial" w:hAnsi="Arial"/>
                <w:b/>
                <w:bCs/>
                <w:sz w:val="24"/>
                <w:szCs w:val="24"/>
              </w:rPr>
              <w:t>Preço Total</w:t>
            </w:r>
          </w:p>
        </w:tc>
      </w:tr>
      <w:tr>
        <w:trPr>
          <w:trHeight w:val="2793" w:hRule="atLeast"/>
        </w:trPr>
        <w:tc>
          <w:tcPr>
            <w:tcW w:w="630" w:type="dxa"/>
            <w:tcBorders>
              <w:left w:val="single" w:sz="4" w:space="0" w:color="000000"/>
              <w:bottom w:val="single" w:sz="4" w:space="0" w:color="000000"/>
            </w:tcBorders>
            <w:vAlign w:val="center"/>
          </w:tcPr>
          <w:p>
            <w:pPr>
              <w:pStyle w:val="Contedodatabela"/>
              <w:widowControl w:val="false"/>
              <w:jc w:val="center"/>
              <w:rPr>
                <w:rFonts w:ascii="Arial" w:hAnsi="Arial"/>
                <w:sz w:val="24"/>
                <w:szCs w:val="24"/>
              </w:rPr>
            </w:pPr>
            <w:r>
              <w:rPr>
                <w:rFonts w:ascii="Arial" w:hAnsi="Arial"/>
                <w:sz w:val="24"/>
                <w:szCs w:val="24"/>
              </w:rPr>
              <w:t>01</w:t>
            </w:r>
          </w:p>
        </w:tc>
        <w:tc>
          <w:tcPr>
            <w:tcW w:w="899" w:type="dxa"/>
            <w:tcBorders>
              <w:left w:val="single" w:sz="4" w:space="0" w:color="000000"/>
              <w:bottom w:val="single" w:sz="4" w:space="0" w:color="000000"/>
            </w:tcBorders>
            <w:vAlign w:val="center"/>
          </w:tcPr>
          <w:p>
            <w:pPr>
              <w:pStyle w:val="Contedodatabela"/>
              <w:widowControl w:val="false"/>
              <w:jc w:val="center"/>
              <w:rPr>
                <w:rFonts w:ascii="Arial" w:hAnsi="Arial"/>
                <w:sz w:val="24"/>
                <w:szCs w:val="24"/>
              </w:rPr>
            </w:pPr>
            <w:r>
              <w:rPr>
                <w:rFonts w:ascii="Arial" w:hAnsi="Arial"/>
                <w:sz w:val="24"/>
                <w:szCs w:val="24"/>
              </w:rPr>
              <w:t>01</w:t>
            </w:r>
          </w:p>
        </w:tc>
        <w:tc>
          <w:tcPr>
            <w:tcW w:w="691" w:type="dxa"/>
            <w:tcBorders>
              <w:left w:val="single" w:sz="4" w:space="0" w:color="000000"/>
              <w:bottom w:val="single" w:sz="4" w:space="0" w:color="000000"/>
            </w:tcBorders>
            <w:vAlign w:val="center"/>
          </w:tcPr>
          <w:p>
            <w:pPr>
              <w:pStyle w:val="Contedodatabela"/>
              <w:widowControl w:val="false"/>
              <w:jc w:val="center"/>
              <w:rPr>
                <w:rFonts w:ascii="Arial" w:hAnsi="Arial"/>
                <w:sz w:val="24"/>
                <w:szCs w:val="24"/>
              </w:rPr>
            </w:pPr>
            <w:r>
              <w:rPr>
                <w:rFonts w:ascii="Arial" w:hAnsi="Arial"/>
                <w:sz w:val="24"/>
                <w:szCs w:val="24"/>
              </w:rPr>
              <w:t>Unid.</w:t>
            </w:r>
          </w:p>
        </w:tc>
        <w:tc>
          <w:tcPr>
            <w:tcW w:w="5610" w:type="dxa"/>
            <w:tcBorders>
              <w:left w:val="single" w:sz="4" w:space="0" w:color="000000"/>
              <w:bottom w:val="single" w:sz="4" w:space="0" w:color="000000"/>
            </w:tcBorders>
            <w:vAlign w:val="center"/>
          </w:tcPr>
          <w:p>
            <w:pPr>
              <w:pStyle w:val="Contedodatabela"/>
              <w:widowControl w:val="false"/>
              <w:rPr>
                <w:rFonts w:ascii="Arial" w:hAnsi="Arial"/>
                <w:sz w:val="24"/>
                <w:szCs w:val="24"/>
              </w:rPr>
            </w:pPr>
            <w:r>
              <w:rPr>
                <w:rFonts w:ascii="Arial" w:hAnsi="Arial"/>
                <w:sz w:val="24"/>
                <w:szCs w:val="24"/>
              </w:rPr>
            </w:r>
          </w:p>
          <w:p>
            <w:pPr>
              <w:pStyle w:val="Normal"/>
              <w:spacing w:lineRule="auto" w:line="240"/>
              <w:jc w:val="both"/>
              <w:rPr/>
            </w:pPr>
            <w:r>
              <w:rPr>
                <w:rStyle w:val="Strong"/>
                <w:rFonts w:eastAsia="Times New Roman" w:cs="Arial" w:ascii="Arial" w:hAnsi="Arial"/>
                <w:b w:val="false"/>
                <w:bCs w:val="false"/>
                <w:sz w:val="24"/>
                <w:szCs w:val="24"/>
                <w:shd w:fill="auto" w:val="clear"/>
              </w:rPr>
              <w:t>C</w:t>
            </w:r>
            <w:r>
              <w:rPr>
                <w:rFonts w:eastAsia="Times New Roman" w:cs="Arial" w:ascii="Arial" w:hAnsi="Arial"/>
                <w:sz w:val="24"/>
                <w:szCs w:val="24"/>
                <w:shd w:fill="auto" w:val="clear"/>
              </w:rPr>
              <w:t>ontratação de empresa especializada para Prestação de Serviços de Licença de Uso de Programas de Informática (Softwares) viabilizando a geração da Folha de Pagamento de Ativos e Inativos, bem como, Instalação, Conversão, Manutenção e Treinamento do Sistema de Acesso à Informação para o Fundo Previdenciário do Município de Tambaú.</w:t>
            </w:r>
          </w:p>
          <w:p>
            <w:pPr>
              <w:pStyle w:val="Contedodatabela"/>
              <w:widowControl w:val="false"/>
              <w:rPr>
                <w:rFonts w:ascii="Arial" w:hAnsi="Arial"/>
                <w:sz w:val="24"/>
                <w:szCs w:val="24"/>
              </w:rPr>
            </w:pPr>
            <w:r>
              <w:rPr>
                <w:rFonts w:ascii="Arial" w:hAnsi="Arial"/>
                <w:sz w:val="24"/>
                <w:szCs w:val="24"/>
              </w:rPr>
            </w:r>
          </w:p>
          <w:p>
            <w:pPr>
              <w:pStyle w:val="Contedodatabela"/>
              <w:widowControl w:val="false"/>
              <w:rPr>
                <w:rFonts w:ascii="Arial" w:hAnsi="Arial"/>
                <w:sz w:val="24"/>
                <w:szCs w:val="24"/>
              </w:rPr>
            </w:pPr>
            <w:r>
              <w:rPr>
                <w:rFonts w:ascii="Arial" w:hAnsi="Arial"/>
                <w:sz w:val="24"/>
                <w:szCs w:val="24"/>
              </w:rPr>
            </w:r>
          </w:p>
        </w:tc>
        <w:tc>
          <w:tcPr>
            <w:tcW w:w="1020" w:type="dxa"/>
            <w:tcBorders>
              <w:left w:val="single" w:sz="4" w:space="0" w:color="000000"/>
              <w:bottom w:val="single" w:sz="4" w:space="0" w:color="000000"/>
            </w:tcBorders>
            <w:vAlign w:val="center"/>
          </w:tcPr>
          <w:p>
            <w:pPr>
              <w:pStyle w:val="Contedodatabela"/>
              <w:widowControl w:val="false"/>
              <w:rPr>
                <w:rFonts w:ascii="Arial" w:hAnsi="Arial"/>
                <w:sz w:val="24"/>
                <w:szCs w:val="24"/>
              </w:rPr>
            </w:pPr>
            <w:r>
              <w:rPr>
                <w:rFonts w:ascii="Arial" w:hAnsi="Arial"/>
                <w:sz w:val="24"/>
                <w:szCs w:val="24"/>
              </w:rPr>
            </w:r>
          </w:p>
        </w:tc>
        <w:tc>
          <w:tcPr>
            <w:tcW w:w="1071" w:type="dxa"/>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4"/>
                <w:szCs w:val="24"/>
              </w:rPr>
            </w:pPr>
            <w:r>
              <w:rPr>
                <w:rFonts w:ascii="Arial" w:hAnsi="Arial"/>
                <w:sz w:val="24"/>
                <w:szCs w:val="24"/>
              </w:rPr>
            </w:r>
          </w:p>
        </w:tc>
      </w:tr>
    </w:tbl>
    <w:p>
      <w:pPr>
        <w:pStyle w:val="Normal"/>
        <w:rPr>
          <w:rFonts w:ascii="Arial" w:hAnsi="Arial"/>
          <w:b/>
          <w:sz w:val="20"/>
          <w:szCs w:val="20"/>
        </w:rPr>
      </w:pPr>
      <w:r>
        <w:rPr>
          <w:rFonts w:ascii="Arial" w:hAnsi="Arial"/>
          <w:b/>
          <w:sz w:val="20"/>
          <w:szCs w:val="20"/>
        </w:rPr>
      </w:r>
    </w:p>
    <w:p>
      <w:pPr>
        <w:pStyle w:val="Normal"/>
        <w:shd w:val="clear" w:color="auto" w:fill="FFFFFF"/>
        <w:jc w:val="both"/>
        <w:rPr>
          <w:rFonts w:ascii="Arial" w:hAnsi="Arial"/>
          <w:sz w:val="20"/>
          <w:szCs w:val="20"/>
        </w:rPr>
      </w:pPr>
      <w:r>
        <w:rPr>
          <w:rFonts w:ascii="Arial" w:hAnsi="Arial"/>
          <w:b/>
          <w:sz w:val="20"/>
          <w:szCs w:val="20"/>
        </w:rPr>
        <w:t>Validade da proposta</w:t>
      </w:r>
      <w:r>
        <w:rPr>
          <w:rFonts w:ascii="Arial" w:hAnsi="Arial"/>
          <w:sz w:val="20"/>
          <w:szCs w:val="20"/>
        </w:rPr>
        <w:t>: 30 (trinta) dias.</w:t>
      </w:r>
    </w:p>
    <w:p>
      <w:pPr>
        <w:pStyle w:val="Normal"/>
        <w:shd w:val="clear" w:color="auto" w:fill="FFFFFF"/>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b/>
          <w:bCs/>
          <w:sz w:val="20"/>
          <w:szCs w:val="20"/>
        </w:rPr>
        <w:t>Condição de Pagamento</w:t>
      </w:r>
      <w:r>
        <w:rPr>
          <w:rFonts w:ascii="Arial" w:hAnsi="Arial"/>
          <w:sz w:val="20"/>
          <w:szCs w:val="20"/>
        </w:rPr>
        <w:t>: 10 (dez) dias corridos, contados da data do aceite da Nota Fiscal.</w:t>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b/>
          <w:sz w:val="20"/>
          <w:szCs w:val="20"/>
        </w:rPr>
        <w:t>Prazo de implantação e funcionamento:</w:t>
      </w:r>
      <w:r>
        <w:rPr>
          <w:rFonts w:ascii="Arial" w:hAnsi="Arial"/>
          <w:sz w:val="20"/>
          <w:szCs w:val="20"/>
        </w:rPr>
        <w:t xml:space="preserve"> 20 (vinte) dias corridos, </w:t>
      </w:r>
      <w:r>
        <w:rPr>
          <w:rFonts w:eastAsia="Times New Roman" w:cs="Times New Roman" w:ascii="Arial" w:hAnsi="Arial"/>
          <w:color w:val="auto"/>
          <w:kern w:val="0"/>
          <w:sz w:val="20"/>
          <w:szCs w:val="20"/>
          <w:lang w:val="pt-BR" w:eastAsia="pt-BR" w:bidi="ar-SA"/>
        </w:rPr>
        <w:t>a contar</w:t>
      </w:r>
      <w:r>
        <w:rPr>
          <w:rFonts w:ascii="Arial" w:hAnsi="Arial"/>
          <w:sz w:val="20"/>
          <w:szCs w:val="20"/>
        </w:rPr>
        <w:t xml:space="preserve"> do recebimento da ordem de fornecimento.</w:t>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b/>
          <w:bCs/>
          <w:sz w:val="20"/>
          <w:szCs w:val="20"/>
        </w:rPr>
        <w:t>Local de entrega:</w:t>
      </w:r>
      <w:r>
        <w:rPr>
          <w:rFonts w:ascii="Arial" w:hAnsi="Arial"/>
          <w:sz w:val="20"/>
          <w:szCs w:val="20"/>
        </w:rPr>
        <w:t xml:space="preserve"> </w:t>
      </w:r>
      <w:r>
        <w:rPr>
          <w:rFonts w:eastAsia="Times New Roman" w:cs="Arial" w:ascii="Arial" w:hAnsi="Arial"/>
          <w:b w:val="false"/>
          <w:bCs w:val="false"/>
          <w:color w:val="000000"/>
          <w:kern w:val="0"/>
          <w:sz w:val="20"/>
          <w:szCs w:val="20"/>
          <w:shd w:fill="auto" w:val="clear"/>
          <w:lang w:val="pt-BR" w:eastAsia="zh-CN" w:bidi="ar-SA"/>
        </w:rPr>
        <w:t>Fundo Previdenciário do Município de Tambaú – FUPREVIT, Praça Carlos Gomes nº 40, Centro, Tambaú-SP, CEP: 13.710-000.</w:t>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que cumpro as exigências de reserva de cargos para pessoa com deficiência, para reabilitado da Previdência Social e para aprendiz, conforme disposto no art. 63, IV, da Lei Federal n. 14.133/21.</w:t>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nos termos do art. 68, VI, da Lei Federal n.º 14.133/21, que a empresa se encontra em situação regular perante o Ministério do Trabalho, no que se refere à observância do disposto no art. 7.º, XXXIII, da Constituição Federal.</w:t>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que o(s) serviço(s) ofertado(s) atende(m) a todas as especificações técnicas e condições constantes neste Termo de Referência.</w:t>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xml:space="preserve">, que no valor proposto estarão inclusos todos os custos operacionais, encargos previdenciários, trabalhistas, tributários, comerciais e quaisquer outros que incidam direta ou indiretamente na prestação de serviços; </w:t>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xml:space="preserve">, que compreendo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art. 63, §1º, da Lei Federal n. 14.133/21. </w:t>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8"/>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que a empresa cumpre plenamente as exigências e os requisitos de habilitação previstos na Dispensa de Licitação, realizada pela Câmara Municipal de Tambaú, inexistindo qualquer fato impeditivo de sua participação nesta contratação, conforme disposto no art. 63, I, da Lei Federal n. 14.133/21.</w:t>
      </w:r>
    </w:p>
    <w:p>
      <w:pPr>
        <w:pStyle w:val="Normal"/>
        <w:shd w:val="clear" w:color="auto" w:fill="FFFFFF"/>
        <w:tabs>
          <w:tab w:val="clear" w:pos="708"/>
          <w:tab w:val="left" w:pos="-1276" w:leader="none"/>
        </w:tabs>
        <w:ind w:hanging="0" w:right="-284"/>
        <w:rPr>
          <w:rFonts w:ascii="Arial" w:hAnsi="Arial"/>
          <w:sz w:val="20"/>
          <w:szCs w:val="20"/>
        </w:rPr>
      </w:pPr>
      <w:r>
        <w:rPr>
          <w:rFonts w:ascii="Arial" w:hAnsi="Arial"/>
          <w:sz w:val="20"/>
          <w:szCs w:val="20"/>
        </w:rPr>
      </w:r>
    </w:p>
    <w:p>
      <w:pPr>
        <w:pStyle w:val="Normal"/>
        <w:jc w:val="center"/>
        <w:rPr>
          <w:rFonts w:ascii="Arial" w:hAnsi="Arial"/>
          <w:sz w:val="20"/>
          <w:szCs w:val="20"/>
        </w:rPr>
      </w:pPr>
      <w:r>
        <w:rPr>
          <w:rFonts w:eastAsia="Book Antiqua" w:ascii="Arial" w:hAnsi="Arial"/>
          <w:b/>
          <w:sz w:val="20"/>
          <w:szCs w:val="20"/>
        </w:rPr>
        <w:t>Data,</w:t>
      </w:r>
    </w:p>
    <w:p>
      <w:pPr>
        <w:pStyle w:val="Normal"/>
        <w:jc w:val="center"/>
        <w:rPr>
          <w:rFonts w:ascii="Arial" w:hAnsi="Arial"/>
          <w:sz w:val="20"/>
          <w:szCs w:val="20"/>
        </w:rPr>
      </w:pPr>
      <w:r>
        <w:rPr>
          <w:rFonts w:eastAsia="Book Antiqua" w:ascii="Arial" w:hAnsi="Arial"/>
          <w:sz w:val="20"/>
          <w:szCs w:val="20"/>
        </w:rPr>
        <w:t>…………………………………………</w:t>
      </w:r>
      <w:r>
        <w:rPr>
          <w:rFonts w:eastAsia="Book Antiqua" w:ascii="Arial" w:hAnsi="Arial"/>
          <w:sz w:val="20"/>
          <w:szCs w:val="20"/>
        </w:rPr>
        <w:t>..</w:t>
      </w:r>
    </w:p>
    <w:p>
      <w:pPr>
        <w:pStyle w:val="Normal"/>
        <w:jc w:val="center"/>
        <w:rPr>
          <w:rFonts w:ascii="Arial" w:hAnsi="Arial"/>
          <w:sz w:val="20"/>
          <w:szCs w:val="20"/>
        </w:rPr>
      </w:pPr>
      <w:r>
        <w:rPr>
          <w:rFonts w:eastAsia="Book Antiqua" w:ascii="Arial" w:hAnsi="Arial"/>
          <w:sz w:val="20"/>
          <w:szCs w:val="20"/>
        </w:rPr>
        <w:t>(Nome do Representante Legal)</w:t>
      </w:r>
    </w:p>
    <w:p>
      <w:pPr>
        <w:pStyle w:val="Normal"/>
        <w:jc w:val="center"/>
        <w:rPr>
          <w:rFonts w:ascii="Arial" w:hAnsi="Arial"/>
          <w:sz w:val="20"/>
          <w:szCs w:val="20"/>
        </w:rPr>
      </w:pPr>
      <w:r>
        <w:rPr>
          <w:rFonts w:eastAsia="Book Antiqua" w:ascii="Arial" w:hAnsi="Arial"/>
          <w:sz w:val="20"/>
          <w:szCs w:val="20"/>
        </w:rPr>
        <w:t xml:space="preserve">RG n.º:                               </w:t>
      </w:r>
    </w:p>
    <w:p>
      <w:pPr>
        <w:pStyle w:val="Normal"/>
        <w:jc w:val="center"/>
        <w:rPr>
          <w:rFonts w:ascii="Arial" w:hAnsi="Arial"/>
          <w:sz w:val="20"/>
          <w:szCs w:val="20"/>
        </w:rPr>
      </w:pPr>
      <w:r>
        <w:rPr>
          <w:rFonts w:eastAsia="Book Antiqua" w:ascii="Arial" w:hAnsi="Arial"/>
          <w:sz w:val="20"/>
          <w:szCs w:val="20"/>
        </w:rPr>
        <w:t>CPF n.º:</w:t>
      </w:r>
    </w:p>
    <w:sectPr>
      <w:type w:val="nextPage"/>
      <w:pgSz w:w="11906" w:h="16838"/>
      <w:pgMar w:left="1134" w:right="850"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3049"/>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Nivel2Char" w:customStyle="1">
    <w:name w:val="Nivel 2 Char"/>
    <w:basedOn w:val="DefaultParagraphFont"/>
    <w:link w:val="Nivel2"/>
    <w:qFormat/>
    <w:locked/>
    <w:rsid w:val="00c06cca"/>
    <w:rPr>
      <w:rFonts w:ascii="Times New Roman" w:hAnsi="Times New Roman" w:eastAsia="Times New Roman" w:cs="Times New Roman"/>
      <w:lang w:eastAsia="pt-BR"/>
    </w:rPr>
  </w:style>
  <w:style w:type="character" w:styleId="Marcas">
    <w:name w:val="Marcas"/>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ivel2" w:customStyle="1">
    <w:name w:val="Nivel 2"/>
    <w:basedOn w:val="Normal"/>
    <w:link w:val="Nivel2Char"/>
    <w:autoRedefine/>
    <w:qFormat/>
    <w:rsid w:val="00c06cca"/>
    <w:pPr>
      <w:spacing w:before="120" w:after="120"/>
      <w:jc w:val="both"/>
    </w:pPr>
    <w:rPr>
      <w:sz w:val="22"/>
      <w:szCs w:val="22"/>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LibreOffice/7.6.2.1$Windows_X86_64 LibreOffice_project/56f7684011345957bbf33a7ee678afaf4d2ba333</Application>
  <AppVersion>15.0000</AppVersion>
  <Pages>2</Pages>
  <Words>399</Words>
  <Characters>2249</Characters>
  <CharactersWithSpaces>2645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2024-03-07T13:26:00Z</dcterms:created>
  <dc:creator>Glaucia</dc:creator>
  <dc:description/>
  <dc:language>pt-BR</dc:language>
  <cp:lastModifiedBy/>
  <cp:lastPrinted>2024-01-19T13:46:00Z</cp:lastPrinted>
  <dcterms:modified xsi:type="dcterms:W3CDTF">2025-11-07T13:47:52Z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